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0D40" w14:textId="77777777" w:rsidR="00B63E24" w:rsidRPr="00B63E24" w:rsidRDefault="00B63E24" w:rsidP="009A5DA4">
      <w:pPr>
        <w:jc w:val="center"/>
        <w:rPr>
          <w:b/>
          <w:bCs/>
          <w:sz w:val="36"/>
          <w:szCs w:val="36"/>
        </w:rPr>
      </w:pPr>
      <w:r w:rsidRPr="00B63E24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63AE88" wp14:editId="5074ED93">
            <wp:simplePos x="0" y="0"/>
            <wp:positionH relativeFrom="column">
              <wp:posOffset>5591175</wp:posOffset>
            </wp:positionH>
            <wp:positionV relativeFrom="paragraph">
              <wp:posOffset>9525</wp:posOffset>
            </wp:positionV>
            <wp:extent cx="3777615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23" w:rsidRPr="00B63E24">
        <w:rPr>
          <w:b/>
          <w:bCs/>
          <w:sz w:val="36"/>
          <w:szCs w:val="36"/>
        </w:rPr>
        <w:t xml:space="preserve">Websites </w:t>
      </w:r>
      <w:r w:rsidR="00CE690B" w:rsidRPr="00B63E24">
        <w:rPr>
          <w:b/>
          <w:bCs/>
          <w:sz w:val="36"/>
          <w:szCs w:val="36"/>
        </w:rPr>
        <w:t xml:space="preserve">and Resource Links </w:t>
      </w:r>
      <w:r w:rsidR="00136D23" w:rsidRPr="00B63E24">
        <w:rPr>
          <w:b/>
          <w:bCs/>
          <w:sz w:val="36"/>
          <w:szCs w:val="36"/>
        </w:rPr>
        <w:t xml:space="preserve">to </w:t>
      </w:r>
      <w:r w:rsidR="00CE690B" w:rsidRPr="00B63E24">
        <w:rPr>
          <w:b/>
          <w:bCs/>
          <w:sz w:val="36"/>
          <w:szCs w:val="36"/>
        </w:rPr>
        <w:t xml:space="preserve">Help </w:t>
      </w:r>
      <w:r w:rsidR="00136D23" w:rsidRPr="00B63E24">
        <w:rPr>
          <w:b/>
          <w:bCs/>
          <w:sz w:val="36"/>
          <w:szCs w:val="36"/>
        </w:rPr>
        <w:t xml:space="preserve">Support </w:t>
      </w:r>
    </w:p>
    <w:p w14:paraId="04D4455D" w14:textId="5E342797" w:rsidR="009A5DA4" w:rsidRPr="00B63E24" w:rsidRDefault="00136D23" w:rsidP="009A5DA4">
      <w:pPr>
        <w:jc w:val="center"/>
        <w:rPr>
          <w:b/>
          <w:bCs/>
          <w:sz w:val="36"/>
          <w:szCs w:val="36"/>
        </w:rPr>
      </w:pPr>
      <w:r w:rsidRPr="00B63E24">
        <w:rPr>
          <w:b/>
          <w:bCs/>
          <w:sz w:val="36"/>
          <w:szCs w:val="36"/>
        </w:rPr>
        <w:t>Effective Transition</w:t>
      </w:r>
      <w:r w:rsidR="00AC6CBA">
        <w:rPr>
          <w:b/>
          <w:bCs/>
          <w:sz w:val="36"/>
          <w:szCs w:val="36"/>
        </w:rPr>
        <w:t>s</w:t>
      </w:r>
    </w:p>
    <w:p w14:paraId="0FA0260D" w14:textId="70514098" w:rsidR="009A5DA4" w:rsidRPr="00E92643" w:rsidRDefault="009A5DA4" w:rsidP="009A5DA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136D23" w14:paraId="4F27EEE9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7F14770B" w14:textId="12AD0825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 xml:space="preserve">Resources to </w:t>
            </w:r>
            <w:r w:rsidR="00A52995">
              <w:rPr>
                <w:b/>
                <w:bCs/>
                <w:sz w:val="32"/>
                <w:szCs w:val="32"/>
              </w:rPr>
              <w:t>S</w:t>
            </w:r>
            <w:r w:rsidRPr="00D86078">
              <w:rPr>
                <w:b/>
                <w:bCs/>
                <w:sz w:val="32"/>
                <w:szCs w:val="32"/>
              </w:rPr>
              <w:t xml:space="preserve">upport </w:t>
            </w:r>
            <w:r w:rsidR="00A52995">
              <w:rPr>
                <w:b/>
                <w:bCs/>
                <w:sz w:val="32"/>
                <w:szCs w:val="32"/>
              </w:rPr>
              <w:t>E</w:t>
            </w:r>
            <w:r w:rsidRPr="00D86078">
              <w:rPr>
                <w:b/>
                <w:bCs/>
                <w:sz w:val="32"/>
                <w:szCs w:val="32"/>
              </w:rPr>
              <w:t xml:space="preserve">arly </w:t>
            </w:r>
            <w:r w:rsidR="00A52995">
              <w:rPr>
                <w:b/>
                <w:bCs/>
                <w:sz w:val="32"/>
                <w:szCs w:val="32"/>
              </w:rPr>
              <w:t>Y</w:t>
            </w:r>
            <w:r w:rsidRPr="00D86078">
              <w:rPr>
                <w:b/>
                <w:bCs/>
                <w:sz w:val="32"/>
                <w:szCs w:val="32"/>
              </w:rPr>
              <w:t xml:space="preserve">ears </w:t>
            </w:r>
            <w:r w:rsidR="00A52995">
              <w:rPr>
                <w:b/>
                <w:bCs/>
                <w:sz w:val="32"/>
                <w:szCs w:val="32"/>
              </w:rPr>
              <w:t>T</w:t>
            </w:r>
            <w:r w:rsidRPr="00D86078">
              <w:rPr>
                <w:b/>
                <w:bCs/>
                <w:sz w:val="32"/>
                <w:szCs w:val="32"/>
              </w:rPr>
              <w:t>ransitions</w:t>
            </w:r>
          </w:p>
        </w:tc>
      </w:tr>
      <w:tr w:rsidR="00136D23" w14:paraId="4307A27C" w14:textId="77777777" w:rsidTr="001F3315">
        <w:trPr>
          <w:trHeight w:val="1078"/>
        </w:trPr>
        <w:tc>
          <w:tcPr>
            <w:tcW w:w="15309" w:type="dxa"/>
          </w:tcPr>
          <w:p w14:paraId="75491263" w14:textId="4BBEEB47" w:rsidR="001F3315" w:rsidRPr="001F3315" w:rsidRDefault="00136D23" w:rsidP="001F3315">
            <w:pPr>
              <w:rPr>
                <w:b/>
                <w:bCs/>
                <w:sz w:val="24"/>
                <w:szCs w:val="24"/>
              </w:rPr>
            </w:pPr>
            <w:r w:rsidRPr="001F3315">
              <w:rPr>
                <w:b/>
                <w:bCs/>
                <w:sz w:val="24"/>
                <w:szCs w:val="24"/>
              </w:rPr>
              <w:t xml:space="preserve">NHS Highland, The Highland Council and HDCD </w:t>
            </w:r>
            <w:r w:rsidR="00F348AA">
              <w:rPr>
                <w:b/>
                <w:bCs/>
                <w:sz w:val="24"/>
                <w:szCs w:val="24"/>
              </w:rPr>
              <w:t xml:space="preserve">- </w:t>
            </w:r>
            <w:r w:rsidRPr="001F3315">
              <w:rPr>
                <w:b/>
                <w:bCs/>
                <w:sz w:val="24"/>
                <w:szCs w:val="24"/>
              </w:rPr>
              <w:t xml:space="preserve">Transition from nursery to primary resource pack </w:t>
            </w:r>
          </w:p>
          <w:p w14:paraId="4239BAF0" w14:textId="6BF6C74F" w:rsidR="00136D23" w:rsidRDefault="001F3315" w:rsidP="001F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Visuals and templates to support transition to download (also in delegate zip file) </w:t>
            </w:r>
          </w:p>
          <w:p w14:paraId="4119A292" w14:textId="20991597" w:rsidR="00136D23" w:rsidRDefault="00AC6CBA" w:rsidP="001F3315">
            <w:pPr>
              <w:jc w:val="both"/>
              <w:rPr>
                <w:sz w:val="24"/>
                <w:szCs w:val="24"/>
              </w:rPr>
            </w:pPr>
            <w:hyperlink r:id="rId8" w:history="1">
              <w:r w:rsidR="001F3315">
                <w:rPr>
                  <w:rStyle w:val="Hyperlink"/>
                  <w:sz w:val="24"/>
                  <w:szCs w:val="24"/>
                </w:rPr>
                <w:t>NHS Highland Transition from Nursery to Primary Resource Pack</w:t>
              </w:r>
            </w:hyperlink>
          </w:p>
          <w:p w14:paraId="45CF76A6" w14:textId="5A0CEEB9" w:rsidR="00136D23" w:rsidRPr="00136D23" w:rsidRDefault="001F3315" w:rsidP="001F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F3315" w14:paraId="7DD2584D" w14:textId="77777777" w:rsidTr="0036564F">
        <w:tc>
          <w:tcPr>
            <w:tcW w:w="15309" w:type="dxa"/>
          </w:tcPr>
          <w:p w14:paraId="0C7B6250" w14:textId="77777777" w:rsidR="001F3315" w:rsidRPr="001F3315" w:rsidRDefault="001F3315" w:rsidP="00136D23">
            <w:pPr>
              <w:rPr>
                <w:b/>
                <w:bCs/>
                <w:sz w:val="24"/>
                <w:szCs w:val="24"/>
              </w:rPr>
            </w:pPr>
            <w:r w:rsidRPr="001F3315">
              <w:rPr>
                <w:b/>
                <w:bCs/>
                <w:sz w:val="24"/>
                <w:szCs w:val="24"/>
              </w:rPr>
              <w:t>BBC Bitesize Staring Primary School</w:t>
            </w:r>
          </w:p>
          <w:p w14:paraId="7B1EF61E" w14:textId="59BE3791" w:rsidR="001F3315" w:rsidRDefault="001F3315" w:rsidP="0013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 and advice for parents, and games for children to play</w:t>
            </w:r>
            <w:r w:rsidR="00CE690B">
              <w:rPr>
                <w:sz w:val="24"/>
                <w:szCs w:val="24"/>
              </w:rPr>
              <w:t>.</w:t>
            </w:r>
          </w:p>
          <w:p w14:paraId="0BCC442E" w14:textId="77777777" w:rsidR="001F3315" w:rsidRDefault="00AC6CBA" w:rsidP="00136D23">
            <w:pPr>
              <w:rPr>
                <w:sz w:val="24"/>
                <w:szCs w:val="24"/>
              </w:rPr>
            </w:pPr>
            <w:hyperlink r:id="rId9" w:history="1">
              <w:r w:rsidR="001F3315" w:rsidRPr="001F3315">
                <w:rPr>
                  <w:rStyle w:val="Hyperlink"/>
                  <w:sz w:val="24"/>
                  <w:szCs w:val="24"/>
                </w:rPr>
                <w:t>BBC Bitesize Starting Primary School</w:t>
              </w:r>
            </w:hyperlink>
          </w:p>
          <w:p w14:paraId="40AE67D6" w14:textId="0B4FB480" w:rsidR="001F3315" w:rsidRPr="00136D23" w:rsidRDefault="001F3315" w:rsidP="00136D23">
            <w:pPr>
              <w:rPr>
                <w:sz w:val="24"/>
                <w:szCs w:val="24"/>
              </w:rPr>
            </w:pPr>
          </w:p>
        </w:tc>
      </w:tr>
      <w:tr w:rsidR="001F3315" w14:paraId="7F81019C" w14:textId="77777777" w:rsidTr="00A52995">
        <w:tc>
          <w:tcPr>
            <w:tcW w:w="15309" w:type="dxa"/>
            <w:shd w:val="clear" w:color="auto" w:fill="auto"/>
          </w:tcPr>
          <w:p w14:paraId="6DEFCD04" w14:textId="273541EC" w:rsidR="001F3315" w:rsidRDefault="004724FB" w:rsidP="00136D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Moving on to Nursery NHS Greater Glasgow and Clyde</w:t>
            </w:r>
          </w:p>
          <w:p w14:paraId="412ECA9C" w14:textId="16E5063C" w:rsidR="005167D1" w:rsidRPr="005167D1" w:rsidRDefault="005167D1" w:rsidP="00136D23">
            <w:pPr>
              <w:rPr>
                <w:sz w:val="24"/>
                <w:szCs w:val="24"/>
              </w:rPr>
            </w:pPr>
            <w:r w:rsidRPr="005167D1">
              <w:rPr>
                <w:sz w:val="24"/>
                <w:szCs w:val="24"/>
              </w:rPr>
              <w:t>Interactive questionnaire for children aged 2½ to 3½ years</w:t>
            </w:r>
            <w:r>
              <w:rPr>
                <w:sz w:val="24"/>
                <w:szCs w:val="24"/>
              </w:rPr>
              <w:t>. G</w:t>
            </w:r>
            <w:r w:rsidRPr="005167D1">
              <w:rPr>
                <w:sz w:val="24"/>
                <w:szCs w:val="24"/>
              </w:rPr>
              <w:t xml:space="preserve">ives parents activity ideas to </w:t>
            </w:r>
            <w:r>
              <w:rPr>
                <w:sz w:val="24"/>
                <w:szCs w:val="24"/>
              </w:rPr>
              <w:t xml:space="preserve">help </w:t>
            </w:r>
            <w:r w:rsidRPr="005167D1">
              <w:rPr>
                <w:sz w:val="24"/>
                <w:szCs w:val="24"/>
              </w:rPr>
              <w:t xml:space="preserve">develop some of the skills children </w:t>
            </w:r>
            <w:r>
              <w:rPr>
                <w:sz w:val="24"/>
                <w:szCs w:val="24"/>
              </w:rPr>
              <w:t xml:space="preserve">may </w:t>
            </w:r>
            <w:r w:rsidRPr="005167D1">
              <w:rPr>
                <w:sz w:val="24"/>
                <w:szCs w:val="24"/>
              </w:rPr>
              <w:t>need at nursery</w:t>
            </w:r>
            <w:r>
              <w:rPr>
                <w:sz w:val="24"/>
                <w:szCs w:val="24"/>
              </w:rPr>
              <w:t xml:space="preserve">. </w:t>
            </w:r>
            <w:r w:rsidRPr="005167D1">
              <w:rPr>
                <w:sz w:val="24"/>
                <w:szCs w:val="24"/>
              </w:rPr>
              <w:t>Creates a downloadable document of activity ideas</w:t>
            </w:r>
            <w:r>
              <w:rPr>
                <w:sz w:val="24"/>
                <w:szCs w:val="24"/>
              </w:rPr>
              <w:t xml:space="preserve"> </w:t>
            </w:r>
            <w:r w:rsidRPr="005167D1">
              <w:rPr>
                <w:sz w:val="24"/>
                <w:szCs w:val="24"/>
              </w:rPr>
              <w:t xml:space="preserve">based </w:t>
            </w:r>
            <w:r>
              <w:rPr>
                <w:sz w:val="24"/>
                <w:szCs w:val="24"/>
              </w:rPr>
              <w:t>up</w:t>
            </w:r>
            <w:r w:rsidRPr="005167D1">
              <w:rPr>
                <w:sz w:val="24"/>
                <w:szCs w:val="24"/>
              </w:rPr>
              <w:t>on responses to the questions.</w:t>
            </w:r>
          </w:p>
          <w:p w14:paraId="48AB864E" w14:textId="374B8031" w:rsidR="004724FB" w:rsidRPr="005167D1" w:rsidRDefault="00AC6CBA" w:rsidP="00136D23">
            <w:pPr>
              <w:rPr>
                <w:sz w:val="24"/>
                <w:szCs w:val="24"/>
              </w:rPr>
            </w:pPr>
            <w:hyperlink r:id="rId10" w:history="1">
              <w:r w:rsidR="005167D1" w:rsidRPr="005167D1">
                <w:rPr>
                  <w:rStyle w:val="Hyperlink"/>
                  <w:sz w:val="24"/>
                  <w:szCs w:val="24"/>
                </w:rPr>
                <w:t>Moving on to Nursery Questionnaire NHS Greater Glasgow and Clyde</w:t>
              </w:r>
            </w:hyperlink>
          </w:p>
          <w:p w14:paraId="667DB476" w14:textId="465F14BE" w:rsidR="004724FB" w:rsidRPr="001F3315" w:rsidRDefault="004724FB" w:rsidP="00136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4FB" w14:paraId="102EB359" w14:textId="77777777" w:rsidTr="00A52995">
        <w:tc>
          <w:tcPr>
            <w:tcW w:w="15309" w:type="dxa"/>
            <w:shd w:val="clear" w:color="auto" w:fill="auto"/>
          </w:tcPr>
          <w:p w14:paraId="0E4ECDC7" w14:textId="7308F1A7" w:rsidR="004724FB" w:rsidRDefault="004724FB" w:rsidP="00136D23">
            <w:pPr>
              <w:rPr>
                <w:b/>
                <w:bCs/>
                <w:sz w:val="24"/>
                <w:szCs w:val="24"/>
              </w:rPr>
            </w:pPr>
            <w:r w:rsidRPr="004724FB">
              <w:rPr>
                <w:b/>
                <w:bCs/>
                <w:sz w:val="24"/>
                <w:szCs w:val="24"/>
              </w:rPr>
              <w:t xml:space="preserve">Moving on to </w:t>
            </w:r>
            <w:r>
              <w:rPr>
                <w:b/>
                <w:bCs/>
                <w:sz w:val="24"/>
                <w:szCs w:val="24"/>
              </w:rPr>
              <w:t xml:space="preserve">School </w:t>
            </w:r>
            <w:r w:rsidRPr="004724FB">
              <w:rPr>
                <w:b/>
                <w:bCs/>
                <w:sz w:val="24"/>
                <w:szCs w:val="24"/>
              </w:rPr>
              <w:t>NHS Greater Glasgow and Clyde</w:t>
            </w:r>
          </w:p>
          <w:p w14:paraId="392B9299" w14:textId="28A9131A" w:rsidR="00A52995" w:rsidRPr="00A52995" w:rsidRDefault="00A52995" w:rsidP="00136D23">
            <w:pPr>
              <w:rPr>
                <w:sz w:val="24"/>
                <w:szCs w:val="24"/>
              </w:rPr>
            </w:pPr>
            <w:r w:rsidRPr="00A52995">
              <w:rPr>
                <w:sz w:val="24"/>
                <w:szCs w:val="24"/>
              </w:rPr>
              <w:t xml:space="preserve">Interactive questionnaire for children aged 3½ </w:t>
            </w:r>
            <w:r>
              <w:rPr>
                <w:sz w:val="24"/>
                <w:szCs w:val="24"/>
              </w:rPr>
              <w:t xml:space="preserve">to 5 </w:t>
            </w:r>
            <w:r w:rsidRPr="00A52995">
              <w:rPr>
                <w:sz w:val="24"/>
                <w:szCs w:val="24"/>
              </w:rPr>
              <w:t>years. Gives parents activity ideas to help develop some of the skills children may need at</w:t>
            </w:r>
            <w:r>
              <w:rPr>
                <w:sz w:val="24"/>
                <w:szCs w:val="24"/>
              </w:rPr>
              <w:t xml:space="preserve"> school</w:t>
            </w:r>
            <w:r w:rsidRPr="00A52995">
              <w:rPr>
                <w:sz w:val="24"/>
                <w:szCs w:val="24"/>
              </w:rPr>
              <w:t>. Creates a downloadable document of activity ideas based upon responses to the questions.</w:t>
            </w:r>
          </w:p>
          <w:p w14:paraId="5F5EF199" w14:textId="020C26B3" w:rsidR="004724FB" w:rsidRDefault="00AC6CBA" w:rsidP="00136D23">
            <w:pPr>
              <w:rPr>
                <w:sz w:val="24"/>
                <w:szCs w:val="24"/>
              </w:rPr>
            </w:pPr>
            <w:hyperlink r:id="rId11" w:history="1">
              <w:r w:rsidR="005167D1">
                <w:rPr>
                  <w:rStyle w:val="Hyperlink"/>
                  <w:sz w:val="24"/>
                  <w:szCs w:val="24"/>
                </w:rPr>
                <w:t>Moving on to School Questionnaire NHS Greater Glasgow and Clyde</w:t>
              </w:r>
            </w:hyperlink>
          </w:p>
          <w:p w14:paraId="5D5E92B3" w14:textId="6F16F918" w:rsidR="004724FB" w:rsidRDefault="004724FB" w:rsidP="00136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D23" w14:paraId="439A690B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54650C6C" w14:textId="716EE14D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 xml:space="preserve">Resources to </w:t>
            </w:r>
            <w:r w:rsidR="00A52995">
              <w:rPr>
                <w:b/>
                <w:bCs/>
                <w:sz w:val="32"/>
                <w:szCs w:val="32"/>
              </w:rPr>
              <w:t>S</w:t>
            </w:r>
            <w:r w:rsidRPr="00D86078">
              <w:rPr>
                <w:b/>
                <w:bCs/>
                <w:sz w:val="32"/>
                <w:szCs w:val="32"/>
              </w:rPr>
              <w:t xml:space="preserve">upport </w:t>
            </w:r>
            <w:r w:rsidR="00A52995">
              <w:rPr>
                <w:b/>
                <w:bCs/>
                <w:sz w:val="32"/>
                <w:szCs w:val="32"/>
              </w:rPr>
              <w:t>P</w:t>
            </w:r>
            <w:r w:rsidRPr="00D86078">
              <w:rPr>
                <w:b/>
                <w:bCs/>
                <w:sz w:val="32"/>
                <w:szCs w:val="32"/>
              </w:rPr>
              <w:t xml:space="preserve">rimary to </w:t>
            </w:r>
            <w:r w:rsidR="00A52995">
              <w:rPr>
                <w:b/>
                <w:bCs/>
                <w:sz w:val="32"/>
                <w:szCs w:val="32"/>
              </w:rPr>
              <w:t>S</w:t>
            </w:r>
            <w:r w:rsidRPr="00D86078">
              <w:rPr>
                <w:b/>
                <w:bCs/>
                <w:sz w:val="32"/>
                <w:szCs w:val="32"/>
              </w:rPr>
              <w:t xml:space="preserve">econdary </w:t>
            </w:r>
            <w:r w:rsidR="00A52995">
              <w:rPr>
                <w:b/>
                <w:bCs/>
                <w:sz w:val="32"/>
                <w:szCs w:val="32"/>
              </w:rPr>
              <w:t>T</w:t>
            </w:r>
            <w:r w:rsidRPr="00D86078">
              <w:rPr>
                <w:b/>
                <w:bCs/>
                <w:sz w:val="32"/>
                <w:szCs w:val="32"/>
              </w:rPr>
              <w:t>ransitions</w:t>
            </w:r>
          </w:p>
        </w:tc>
      </w:tr>
      <w:tr w:rsidR="001F3315" w14:paraId="289DA7B8" w14:textId="77777777" w:rsidTr="0079695E">
        <w:tc>
          <w:tcPr>
            <w:tcW w:w="15309" w:type="dxa"/>
          </w:tcPr>
          <w:p w14:paraId="5D9F2249" w14:textId="7D980DC0" w:rsidR="001F3315" w:rsidRDefault="001F3315" w:rsidP="00136D23">
            <w:pPr>
              <w:rPr>
                <w:b/>
                <w:bCs/>
                <w:sz w:val="24"/>
                <w:szCs w:val="24"/>
              </w:rPr>
            </w:pPr>
            <w:r w:rsidRPr="00F348AA">
              <w:rPr>
                <w:b/>
                <w:bCs/>
                <w:sz w:val="24"/>
                <w:szCs w:val="24"/>
              </w:rPr>
              <w:t>NHS Greater Glasgow and Clyde Skills for Secondary School</w:t>
            </w:r>
          </w:p>
          <w:p w14:paraId="4D546BB2" w14:textId="4FFD1F3B" w:rsidR="00F348AA" w:rsidRPr="005D69D7" w:rsidRDefault="005D69D7" w:rsidP="005D69D7">
            <w:pPr>
              <w:rPr>
                <w:sz w:val="24"/>
                <w:szCs w:val="24"/>
              </w:rPr>
            </w:pPr>
            <w:r w:rsidRPr="005D69D7">
              <w:rPr>
                <w:sz w:val="24"/>
                <w:szCs w:val="24"/>
              </w:rPr>
              <w:t>Designed for young people but contains tips for parent too.</w:t>
            </w:r>
            <w:r>
              <w:rPr>
                <w:sz w:val="24"/>
                <w:szCs w:val="24"/>
              </w:rPr>
              <w:t xml:space="preserve"> </w:t>
            </w:r>
            <w:r w:rsidRPr="005D69D7">
              <w:rPr>
                <w:sz w:val="24"/>
                <w:szCs w:val="24"/>
              </w:rPr>
              <w:t>Presentations contain lots of useful tips</w:t>
            </w:r>
            <w:r>
              <w:rPr>
                <w:sz w:val="24"/>
                <w:szCs w:val="24"/>
              </w:rPr>
              <w:t xml:space="preserve"> and include activity ideas to practice key skills. </w:t>
            </w:r>
          </w:p>
          <w:p w14:paraId="46855924" w14:textId="60F9C769" w:rsidR="001F3315" w:rsidRDefault="00AC6CBA" w:rsidP="00136D23">
            <w:pPr>
              <w:rPr>
                <w:sz w:val="24"/>
                <w:szCs w:val="24"/>
              </w:rPr>
            </w:pPr>
            <w:hyperlink r:id="rId12" w:history="1">
              <w:r w:rsidR="00F348AA">
                <w:rPr>
                  <w:rStyle w:val="Hyperlink"/>
                  <w:sz w:val="24"/>
                  <w:szCs w:val="24"/>
                </w:rPr>
                <w:t>Skills for Secondary School NHS Greater Glasgow and Clyde</w:t>
              </w:r>
            </w:hyperlink>
          </w:p>
          <w:p w14:paraId="036DDC00" w14:textId="41647911" w:rsidR="00F348AA" w:rsidRPr="00136D23" w:rsidRDefault="00F348AA" w:rsidP="00136D23">
            <w:pPr>
              <w:rPr>
                <w:sz w:val="24"/>
                <w:szCs w:val="24"/>
              </w:rPr>
            </w:pPr>
          </w:p>
        </w:tc>
      </w:tr>
      <w:tr w:rsidR="001F3315" w14:paraId="5A311F49" w14:textId="77777777" w:rsidTr="00BC0F5D">
        <w:tc>
          <w:tcPr>
            <w:tcW w:w="15309" w:type="dxa"/>
          </w:tcPr>
          <w:p w14:paraId="74CF8F3A" w14:textId="5CB3AE96" w:rsidR="00E92643" w:rsidRDefault="00270AAA" w:rsidP="00136D23">
            <w:pPr>
              <w:rPr>
                <w:b/>
                <w:bCs/>
                <w:sz w:val="24"/>
                <w:szCs w:val="24"/>
              </w:rPr>
            </w:pPr>
            <w:r w:rsidRPr="00270AAA">
              <w:rPr>
                <w:b/>
                <w:bCs/>
                <w:sz w:val="24"/>
                <w:szCs w:val="24"/>
              </w:rPr>
              <w:t xml:space="preserve">BBC Bitesize Starting Secondary School </w:t>
            </w:r>
          </w:p>
          <w:p w14:paraId="743D88D4" w14:textId="07701152" w:rsidR="00270AAA" w:rsidRPr="00033B1A" w:rsidRDefault="00033B1A" w:rsidP="00136D23">
            <w:pPr>
              <w:rPr>
                <w:sz w:val="24"/>
                <w:szCs w:val="24"/>
              </w:rPr>
            </w:pPr>
            <w:r w:rsidRPr="00033B1A">
              <w:rPr>
                <w:sz w:val="24"/>
                <w:szCs w:val="24"/>
              </w:rPr>
              <w:t xml:space="preserve">Advice and information for pupils and parents. </w:t>
            </w:r>
          </w:p>
          <w:p w14:paraId="21A9C17D" w14:textId="77777777" w:rsidR="009A5DA4" w:rsidRDefault="00AC6CBA" w:rsidP="00136D23">
            <w:pPr>
              <w:rPr>
                <w:rStyle w:val="Hyperlink"/>
                <w:sz w:val="24"/>
                <w:szCs w:val="24"/>
              </w:rPr>
            </w:pPr>
            <w:hyperlink r:id="rId13" w:history="1">
              <w:r w:rsidR="001F3315">
                <w:rPr>
                  <w:rStyle w:val="Hyperlink"/>
                  <w:sz w:val="24"/>
                  <w:szCs w:val="24"/>
                </w:rPr>
                <w:t>BBC Bitesize Starting Secondary School</w:t>
              </w:r>
            </w:hyperlink>
          </w:p>
          <w:p w14:paraId="589B55A2" w14:textId="3E56C3FE" w:rsidR="009A5DA4" w:rsidRPr="009A5DA4" w:rsidRDefault="009A5DA4" w:rsidP="00136D23">
            <w:pPr>
              <w:rPr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4724FB" w14:paraId="1FAA94C5" w14:textId="77777777" w:rsidTr="00BC0F5D">
        <w:tc>
          <w:tcPr>
            <w:tcW w:w="15309" w:type="dxa"/>
          </w:tcPr>
          <w:p w14:paraId="50832EA6" w14:textId="77777777" w:rsidR="004724FB" w:rsidRPr="00033B1A" w:rsidRDefault="004724FB" w:rsidP="004724FB">
            <w:pPr>
              <w:rPr>
                <w:b/>
                <w:bCs/>
                <w:sz w:val="24"/>
                <w:szCs w:val="24"/>
              </w:rPr>
            </w:pPr>
            <w:r w:rsidRPr="00033B1A">
              <w:rPr>
                <w:b/>
                <w:bCs/>
                <w:sz w:val="24"/>
                <w:szCs w:val="24"/>
              </w:rPr>
              <w:lastRenderedPageBreak/>
              <w:t>BBC Teach – Transition to Secondary School</w:t>
            </w:r>
          </w:p>
          <w:p w14:paraId="53A17E61" w14:textId="71668FA9" w:rsidR="004724FB" w:rsidRDefault="004724FB" w:rsidP="0047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 and resources for teachers to use in school. Covers being brave, changes, ho</w:t>
            </w:r>
            <w:r w:rsidR="00CE690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 &amp; dreams, support networks. Links with Young Minds activity packs.</w:t>
            </w:r>
          </w:p>
          <w:p w14:paraId="757A348A" w14:textId="77777777" w:rsidR="004724FB" w:rsidRDefault="00AC6CBA" w:rsidP="004724FB">
            <w:pPr>
              <w:rPr>
                <w:sz w:val="24"/>
                <w:szCs w:val="24"/>
              </w:rPr>
            </w:pPr>
            <w:hyperlink r:id="rId14" w:history="1">
              <w:r w:rsidR="004724FB">
                <w:rPr>
                  <w:rStyle w:val="Hyperlink"/>
                  <w:sz w:val="24"/>
                  <w:szCs w:val="24"/>
                </w:rPr>
                <w:t>BBC Teach Transition to Secondary School</w:t>
              </w:r>
            </w:hyperlink>
          </w:p>
          <w:p w14:paraId="7999E31C" w14:textId="77777777" w:rsidR="004724FB" w:rsidRPr="00270AAA" w:rsidRDefault="004724FB" w:rsidP="00136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4FB" w14:paraId="3621D72A" w14:textId="77777777" w:rsidTr="00BC0F5D">
        <w:tc>
          <w:tcPr>
            <w:tcW w:w="15309" w:type="dxa"/>
          </w:tcPr>
          <w:p w14:paraId="721D7F38" w14:textId="77777777" w:rsidR="004724FB" w:rsidRDefault="004724FB" w:rsidP="004724FB">
            <w:pPr>
              <w:rPr>
                <w:b/>
                <w:bCs/>
                <w:sz w:val="24"/>
                <w:szCs w:val="24"/>
              </w:rPr>
            </w:pPr>
            <w:r w:rsidRPr="00D86078">
              <w:rPr>
                <w:b/>
                <w:bCs/>
                <w:sz w:val="24"/>
                <w:szCs w:val="24"/>
              </w:rPr>
              <w:t>BBC Bitesize PDMU Lessons – KS2 Transition</w:t>
            </w:r>
          </w:p>
          <w:p w14:paraId="70A68140" w14:textId="77777777" w:rsidR="004724FB" w:rsidRDefault="004724FB" w:rsidP="004724FB">
            <w:pPr>
              <w:rPr>
                <w:sz w:val="24"/>
                <w:szCs w:val="24"/>
              </w:rPr>
            </w:pPr>
            <w:r w:rsidRPr="00D86078">
              <w:rPr>
                <w:sz w:val="24"/>
                <w:szCs w:val="24"/>
              </w:rPr>
              <w:t xml:space="preserve">Designed to be used in PDMU lessons. Series of 5 </w:t>
            </w:r>
            <w:r>
              <w:rPr>
                <w:sz w:val="24"/>
                <w:szCs w:val="24"/>
              </w:rPr>
              <w:t xml:space="preserve">animated </w:t>
            </w:r>
            <w:r w:rsidRPr="00D86078">
              <w:rPr>
                <w:sz w:val="24"/>
                <w:szCs w:val="24"/>
              </w:rPr>
              <w:t>learner guides</w:t>
            </w:r>
            <w:r>
              <w:rPr>
                <w:sz w:val="24"/>
                <w:szCs w:val="24"/>
              </w:rPr>
              <w:t xml:space="preserve">. May be useful for facilitating discussions about transition to secondary. </w:t>
            </w:r>
          </w:p>
          <w:p w14:paraId="3EB96278" w14:textId="77777777" w:rsidR="004724FB" w:rsidRDefault="00AC6CBA" w:rsidP="004724FB">
            <w:pPr>
              <w:rPr>
                <w:sz w:val="24"/>
                <w:szCs w:val="24"/>
              </w:rPr>
            </w:pPr>
            <w:hyperlink r:id="rId15" w:history="1">
              <w:r w:rsidR="004724FB">
                <w:rPr>
                  <w:rStyle w:val="Hyperlink"/>
                  <w:sz w:val="24"/>
                  <w:szCs w:val="24"/>
                </w:rPr>
                <w:t>BBC Bitesize PMDU KS2 Transition Learner Guides</w:t>
              </w:r>
            </w:hyperlink>
          </w:p>
          <w:p w14:paraId="7F5334E9" w14:textId="77777777" w:rsidR="004724FB" w:rsidRPr="00033B1A" w:rsidRDefault="004724FB" w:rsidP="004724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5DA4" w14:paraId="443D046D" w14:textId="77777777" w:rsidTr="00BC0F5D">
        <w:tc>
          <w:tcPr>
            <w:tcW w:w="15309" w:type="dxa"/>
          </w:tcPr>
          <w:p w14:paraId="64547F74" w14:textId="39B61CC2" w:rsidR="009A5DA4" w:rsidRDefault="009A5DA4" w:rsidP="004724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</w:rPr>
              <w:t xml:space="preserve">ompass </w:t>
            </w:r>
          </w:p>
          <w:p w14:paraId="5F0FA68E" w14:textId="0A55C5D3" w:rsidR="009A5DA4" w:rsidRPr="00B27BFA" w:rsidRDefault="00B27BFA" w:rsidP="004724FB">
            <w:r>
              <w:t xml:space="preserve">Advice for parents on how to talk to their children about the transition to secondary and tips to help them be prepared. </w:t>
            </w:r>
            <w:r w:rsidRPr="00B27BFA">
              <w:t xml:space="preserve">Includes 12 Steps to help with transition. </w:t>
            </w:r>
            <w:r>
              <w:t xml:space="preserve">The ‘My moving up to secondary booklet’ includes useful and fun activities and some helpful tips, which is designed for children and parents to complete together. </w:t>
            </w:r>
          </w:p>
          <w:p w14:paraId="3BC619A9" w14:textId="59B19A4E" w:rsidR="00B27BFA" w:rsidRDefault="00AC6CBA" w:rsidP="004724FB">
            <w:pPr>
              <w:rPr>
                <w:sz w:val="24"/>
                <w:szCs w:val="24"/>
              </w:rPr>
            </w:pPr>
            <w:hyperlink r:id="rId16" w:history="1">
              <w:r w:rsidR="00B27BFA">
                <w:rPr>
                  <w:rStyle w:val="Hyperlink"/>
                  <w:sz w:val="24"/>
                  <w:szCs w:val="24"/>
                </w:rPr>
                <w:t>Compass Transition to Secondary School Advice</w:t>
              </w:r>
            </w:hyperlink>
            <w:r w:rsidR="00B27BFA">
              <w:rPr>
                <w:sz w:val="24"/>
                <w:szCs w:val="24"/>
              </w:rPr>
              <w:t xml:space="preserve">                       </w:t>
            </w:r>
            <w:hyperlink r:id="rId17" w:history="1">
              <w:r w:rsidR="00B27BFA">
                <w:rPr>
                  <w:rStyle w:val="Hyperlink"/>
                  <w:sz w:val="24"/>
                  <w:szCs w:val="24"/>
                </w:rPr>
                <w:t>Compass My Moving up to Secondary School Booklet</w:t>
              </w:r>
            </w:hyperlink>
            <w:r w:rsidR="00CE690B">
              <w:rPr>
                <w:sz w:val="24"/>
                <w:szCs w:val="24"/>
              </w:rPr>
              <w:t xml:space="preserve">  </w:t>
            </w:r>
            <w:r w:rsidR="00CE690B" w:rsidRPr="00CE690B">
              <w:rPr>
                <w:sz w:val="24"/>
                <w:szCs w:val="24"/>
              </w:rPr>
              <w:t>(also in delegate zip file)</w:t>
            </w:r>
          </w:p>
          <w:p w14:paraId="0FB23F8F" w14:textId="59EE2808" w:rsidR="009A5DA4" w:rsidRPr="00D86078" w:rsidRDefault="009A5DA4" w:rsidP="004724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D23" w14:paraId="2A174C27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3342F0A9" w14:textId="02006F7F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 xml:space="preserve">Resources to </w:t>
            </w:r>
            <w:r w:rsidR="00A52995">
              <w:rPr>
                <w:b/>
                <w:bCs/>
                <w:sz w:val="32"/>
                <w:szCs w:val="32"/>
              </w:rPr>
              <w:t>S</w:t>
            </w:r>
            <w:r w:rsidRPr="00D86078">
              <w:rPr>
                <w:b/>
                <w:bCs/>
                <w:sz w:val="32"/>
                <w:szCs w:val="32"/>
              </w:rPr>
              <w:t xml:space="preserve">upport </w:t>
            </w:r>
            <w:r w:rsidR="00A52995">
              <w:rPr>
                <w:b/>
                <w:bCs/>
                <w:sz w:val="32"/>
                <w:szCs w:val="32"/>
              </w:rPr>
              <w:t>P</w:t>
            </w:r>
            <w:r w:rsidRPr="00D86078">
              <w:rPr>
                <w:b/>
                <w:bCs/>
                <w:sz w:val="32"/>
                <w:szCs w:val="32"/>
              </w:rPr>
              <w:t xml:space="preserve">ost-16 </w:t>
            </w:r>
            <w:r w:rsidR="00A52995">
              <w:rPr>
                <w:b/>
                <w:bCs/>
                <w:sz w:val="32"/>
                <w:szCs w:val="32"/>
              </w:rPr>
              <w:t>T</w:t>
            </w:r>
            <w:r w:rsidRPr="00D86078">
              <w:rPr>
                <w:b/>
                <w:bCs/>
                <w:sz w:val="32"/>
                <w:szCs w:val="32"/>
              </w:rPr>
              <w:t>ransitions</w:t>
            </w:r>
          </w:p>
        </w:tc>
      </w:tr>
      <w:tr w:rsidR="00E92643" w14:paraId="21F57F8B" w14:textId="77777777" w:rsidTr="00D51922">
        <w:tc>
          <w:tcPr>
            <w:tcW w:w="15309" w:type="dxa"/>
          </w:tcPr>
          <w:p w14:paraId="57FA2F41" w14:textId="77777777" w:rsidR="00E92643" w:rsidRPr="00E92643" w:rsidRDefault="00E92643" w:rsidP="00136D23">
            <w:pPr>
              <w:rPr>
                <w:b/>
                <w:bCs/>
                <w:sz w:val="24"/>
                <w:szCs w:val="24"/>
              </w:rPr>
            </w:pPr>
            <w:r w:rsidRPr="00E92643">
              <w:rPr>
                <w:b/>
                <w:bCs/>
                <w:sz w:val="24"/>
                <w:szCs w:val="24"/>
              </w:rPr>
              <w:t>BBC Bitesize University, College and Apprenticeships</w:t>
            </w:r>
          </w:p>
          <w:p w14:paraId="7BAE7833" w14:textId="06A24C5F" w:rsidR="00E92643" w:rsidRDefault="00E92643" w:rsidP="00136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Advice and information for young people who are exploring the next stages of the education or employment journey</w:t>
            </w:r>
            <w:r w:rsidR="00CE69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0A2A9A5" w14:textId="553596BA" w:rsidR="00E92643" w:rsidRDefault="00AC6CBA" w:rsidP="00136D23">
            <w:pPr>
              <w:rPr>
                <w:sz w:val="24"/>
                <w:szCs w:val="24"/>
              </w:rPr>
            </w:pPr>
            <w:hyperlink r:id="rId18" w:history="1">
              <w:r w:rsidR="00E92643">
                <w:rPr>
                  <w:rStyle w:val="Hyperlink"/>
                  <w:sz w:val="24"/>
                  <w:szCs w:val="24"/>
                </w:rPr>
                <w:t>BBC Bitesize University, College and Apprenticeships</w:t>
              </w:r>
            </w:hyperlink>
          </w:p>
          <w:p w14:paraId="270FBDEA" w14:textId="51566D5D" w:rsidR="00E92643" w:rsidRPr="00136D23" w:rsidRDefault="00E92643" w:rsidP="00136D23">
            <w:pPr>
              <w:rPr>
                <w:sz w:val="24"/>
                <w:szCs w:val="24"/>
              </w:rPr>
            </w:pPr>
          </w:p>
        </w:tc>
      </w:tr>
      <w:tr w:rsidR="005D69D7" w14:paraId="55D0C1F3" w14:textId="77777777" w:rsidTr="00DD0629">
        <w:tc>
          <w:tcPr>
            <w:tcW w:w="15309" w:type="dxa"/>
            <w:shd w:val="clear" w:color="auto" w:fill="auto"/>
          </w:tcPr>
          <w:p w14:paraId="495CFF1C" w14:textId="3EAEC91F" w:rsidR="00033B1A" w:rsidRDefault="004724FB" w:rsidP="004724FB">
            <w:pPr>
              <w:rPr>
                <w:b/>
                <w:bCs/>
                <w:sz w:val="24"/>
                <w:szCs w:val="24"/>
              </w:rPr>
            </w:pPr>
            <w:r w:rsidRPr="004724FB">
              <w:rPr>
                <w:b/>
                <w:bCs/>
                <w:sz w:val="24"/>
                <w:szCs w:val="24"/>
              </w:rPr>
              <w:t>Preparing for Adulthood</w:t>
            </w:r>
          </w:p>
          <w:p w14:paraId="52666D52" w14:textId="163AAF17" w:rsidR="003A582D" w:rsidRPr="00DD0629" w:rsidRDefault="00DD0629" w:rsidP="004724FB">
            <w:pPr>
              <w:rPr>
                <w:sz w:val="24"/>
                <w:szCs w:val="24"/>
              </w:rPr>
            </w:pPr>
            <w:r w:rsidRPr="00DD0629">
              <w:rPr>
                <w:sz w:val="24"/>
                <w:szCs w:val="24"/>
              </w:rPr>
              <w:t xml:space="preserve">Information, advice, and resources on the four aspects of preparing for adulthood – employment, independent living, community inclusion, health. </w:t>
            </w:r>
          </w:p>
          <w:p w14:paraId="57FC0FBD" w14:textId="708A75A2" w:rsidR="004724FB" w:rsidRDefault="00AC6CBA" w:rsidP="004724FB">
            <w:pPr>
              <w:rPr>
                <w:sz w:val="24"/>
                <w:szCs w:val="24"/>
              </w:rPr>
            </w:pPr>
            <w:hyperlink r:id="rId19" w:history="1">
              <w:r w:rsidR="003A582D">
                <w:rPr>
                  <w:rStyle w:val="Hyperlink"/>
                  <w:sz w:val="24"/>
                  <w:szCs w:val="24"/>
                </w:rPr>
                <w:t>Preparing for Adulthood</w:t>
              </w:r>
            </w:hyperlink>
          </w:p>
          <w:p w14:paraId="3BDE2F7E" w14:textId="3F5C6E30" w:rsidR="003A582D" w:rsidRPr="00136D23" w:rsidRDefault="003A582D" w:rsidP="004724FB">
            <w:pPr>
              <w:rPr>
                <w:sz w:val="24"/>
                <w:szCs w:val="24"/>
              </w:rPr>
            </w:pPr>
          </w:p>
        </w:tc>
      </w:tr>
      <w:tr w:rsidR="00136D23" w14:paraId="172B37BC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29A417A1" w14:textId="71C16F12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 xml:space="preserve">Resources to </w:t>
            </w:r>
            <w:r w:rsidR="00A52995">
              <w:rPr>
                <w:b/>
                <w:bCs/>
                <w:sz w:val="32"/>
                <w:szCs w:val="32"/>
              </w:rPr>
              <w:t>S</w:t>
            </w:r>
            <w:r w:rsidRPr="00D86078">
              <w:rPr>
                <w:b/>
                <w:bCs/>
                <w:sz w:val="32"/>
                <w:szCs w:val="32"/>
              </w:rPr>
              <w:t xml:space="preserve">upport </w:t>
            </w:r>
            <w:r w:rsidR="00A52995">
              <w:rPr>
                <w:b/>
                <w:bCs/>
                <w:sz w:val="32"/>
                <w:szCs w:val="32"/>
              </w:rPr>
              <w:t>W</w:t>
            </w:r>
            <w:r w:rsidRPr="00D86078">
              <w:rPr>
                <w:b/>
                <w:bCs/>
                <w:sz w:val="32"/>
                <w:szCs w:val="32"/>
              </w:rPr>
              <w:t xml:space="preserve">orries, </w:t>
            </w:r>
            <w:r w:rsidR="00A52995">
              <w:rPr>
                <w:b/>
                <w:bCs/>
                <w:sz w:val="32"/>
                <w:szCs w:val="32"/>
              </w:rPr>
              <w:t>A</w:t>
            </w:r>
            <w:r w:rsidRPr="00D86078">
              <w:rPr>
                <w:b/>
                <w:bCs/>
                <w:sz w:val="32"/>
                <w:szCs w:val="32"/>
              </w:rPr>
              <w:t xml:space="preserve">nxiety, and </w:t>
            </w:r>
            <w:r w:rsidR="00A52995">
              <w:rPr>
                <w:b/>
                <w:bCs/>
                <w:sz w:val="32"/>
                <w:szCs w:val="32"/>
              </w:rPr>
              <w:t>M</w:t>
            </w:r>
            <w:r w:rsidRPr="00D86078">
              <w:rPr>
                <w:b/>
                <w:bCs/>
                <w:sz w:val="32"/>
                <w:szCs w:val="32"/>
              </w:rPr>
              <w:t xml:space="preserve">ental </w:t>
            </w:r>
            <w:r w:rsidR="00A52995">
              <w:rPr>
                <w:b/>
                <w:bCs/>
                <w:sz w:val="32"/>
                <w:szCs w:val="32"/>
              </w:rPr>
              <w:t>H</w:t>
            </w:r>
            <w:r w:rsidRPr="00D86078">
              <w:rPr>
                <w:b/>
                <w:bCs/>
                <w:sz w:val="32"/>
                <w:szCs w:val="32"/>
              </w:rPr>
              <w:t xml:space="preserve">ealth </w:t>
            </w:r>
            <w:r w:rsidR="00A52995">
              <w:rPr>
                <w:b/>
                <w:bCs/>
                <w:sz w:val="32"/>
                <w:szCs w:val="32"/>
              </w:rPr>
              <w:t>A</w:t>
            </w:r>
            <w:r w:rsidRPr="00D86078">
              <w:rPr>
                <w:b/>
                <w:bCs/>
                <w:sz w:val="32"/>
                <w:szCs w:val="32"/>
              </w:rPr>
              <w:t xml:space="preserve">ssociated </w:t>
            </w:r>
            <w:r w:rsidR="009A5DA4">
              <w:rPr>
                <w:b/>
                <w:bCs/>
                <w:sz w:val="32"/>
                <w:szCs w:val="32"/>
              </w:rPr>
              <w:t>with</w:t>
            </w:r>
            <w:r w:rsidRPr="00D86078">
              <w:rPr>
                <w:b/>
                <w:bCs/>
                <w:sz w:val="32"/>
                <w:szCs w:val="32"/>
              </w:rPr>
              <w:t xml:space="preserve"> </w:t>
            </w:r>
            <w:r w:rsidR="00A52995">
              <w:rPr>
                <w:b/>
                <w:bCs/>
                <w:sz w:val="32"/>
                <w:szCs w:val="32"/>
              </w:rPr>
              <w:t>E</w:t>
            </w:r>
            <w:r w:rsidRPr="00D86078">
              <w:rPr>
                <w:b/>
                <w:bCs/>
                <w:sz w:val="32"/>
                <w:szCs w:val="32"/>
              </w:rPr>
              <w:t xml:space="preserve">ducational </w:t>
            </w:r>
            <w:r w:rsidR="00A52995">
              <w:rPr>
                <w:b/>
                <w:bCs/>
                <w:sz w:val="32"/>
                <w:szCs w:val="32"/>
              </w:rPr>
              <w:t>T</w:t>
            </w:r>
            <w:r w:rsidRPr="00D86078">
              <w:rPr>
                <w:b/>
                <w:bCs/>
                <w:sz w:val="32"/>
                <w:szCs w:val="32"/>
              </w:rPr>
              <w:t>ransitions</w:t>
            </w:r>
          </w:p>
        </w:tc>
      </w:tr>
      <w:tr w:rsidR="005D69D7" w14:paraId="4E386741" w14:textId="77777777" w:rsidTr="00DD0629">
        <w:tc>
          <w:tcPr>
            <w:tcW w:w="15309" w:type="dxa"/>
            <w:shd w:val="clear" w:color="auto" w:fill="auto"/>
          </w:tcPr>
          <w:p w14:paraId="56DA8C6A" w14:textId="640E0116" w:rsidR="00DD0629" w:rsidRPr="00DD0629" w:rsidRDefault="00DD0629" w:rsidP="00136D23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DD0629">
              <w:rPr>
                <w:b/>
                <w:bCs/>
                <w:sz w:val="24"/>
                <w:szCs w:val="24"/>
              </w:rPr>
              <w:t>Moving Up! The Transition to Secondary School animation and teacher toolkit produced by the Anna Freud National Centre for Children and Families</w:t>
            </w:r>
          </w:p>
          <w:p w14:paraId="3D3B20A0" w14:textId="46F151B5" w:rsidR="00DD0629" w:rsidRDefault="00DD0629" w:rsidP="00DD0629">
            <w:pPr>
              <w:rPr>
                <w:sz w:val="24"/>
                <w:szCs w:val="24"/>
              </w:rPr>
            </w:pPr>
            <w:r w:rsidRPr="00DD0629">
              <w:rPr>
                <w:sz w:val="24"/>
                <w:szCs w:val="24"/>
              </w:rPr>
              <w:t>Th</w:t>
            </w:r>
            <w:r w:rsidR="00B4236E">
              <w:rPr>
                <w:sz w:val="24"/>
                <w:szCs w:val="24"/>
              </w:rPr>
              <w:t>e</w:t>
            </w:r>
            <w:r w:rsidRPr="00DD0629">
              <w:rPr>
                <w:sz w:val="24"/>
                <w:szCs w:val="24"/>
              </w:rPr>
              <w:t xml:space="preserve"> animation and accompanying teacher toolkit are aimed at supporting pupils </w:t>
            </w:r>
            <w:r w:rsidR="00B4236E">
              <w:rPr>
                <w:sz w:val="24"/>
                <w:szCs w:val="24"/>
              </w:rPr>
              <w:t xml:space="preserve">in year six, or those </w:t>
            </w:r>
            <w:r w:rsidRPr="00DD0629">
              <w:rPr>
                <w:sz w:val="24"/>
                <w:szCs w:val="24"/>
              </w:rPr>
              <w:t>who have recently started Year 7</w:t>
            </w:r>
            <w:r>
              <w:rPr>
                <w:sz w:val="24"/>
                <w:szCs w:val="24"/>
              </w:rPr>
              <w:t xml:space="preserve">. </w:t>
            </w:r>
            <w:r w:rsidRPr="00DD0629">
              <w:rPr>
                <w:sz w:val="24"/>
                <w:szCs w:val="24"/>
              </w:rPr>
              <w:t>The animation aims to support pupils to</w:t>
            </w:r>
            <w:r>
              <w:rPr>
                <w:sz w:val="24"/>
                <w:szCs w:val="24"/>
              </w:rPr>
              <w:t xml:space="preserve"> i</w:t>
            </w:r>
            <w:r w:rsidRPr="00DD0629">
              <w:rPr>
                <w:sz w:val="24"/>
                <w:szCs w:val="24"/>
              </w:rPr>
              <w:t>dentify potential worries associated with starting secondary school</w:t>
            </w:r>
            <w:r>
              <w:rPr>
                <w:sz w:val="24"/>
                <w:szCs w:val="24"/>
              </w:rPr>
              <w:t xml:space="preserve"> and to k</w:t>
            </w:r>
            <w:r w:rsidRPr="00DD0629">
              <w:rPr>
                <w:sz w:val="24"/>
                <w:szCs w:val="24"/>
              </w:rPr>
              <w:t>now they're not alone if they are feeling worried</w:t>
            </w:r>
            <w:r>
              <w:rPr>
                <w:sz w:val="24"/>
                <w:szCs w:val="24"/>
              </w:rPr>
              <w:t>.</w:t>
            </w:r>
          </w:p>
          <w:p w14:paraId="30EAD13B" w14:textId="7E37C986" w:rsidR="005D69D7" w:rsidRDefault="00AC6CBA" w:rsidP="00136D23">
            <w:pPr>
              <w:rPr>
                <w:sz w:val="24"/>
                <w:szCs w:val="24"/>
              </w:rPr>
            </w:pPr>
            <w:hyperlink r:id="rId20" w:history="1">
              <w:r w:rsidR="00DD0629">
                <w:rPr>
                  <w:rStyle w:val="Hyperlink"/>
                  <w:sz w:val="24"/>
                  <w:szCs w:val="24"/>
                </w:rPr>
                <w:t>Anna Freud Moving Up! The Transition to Secondary School</w:t>
              </w:r>
            </w:hyperlink>
            <w:r w:rsidR="005D69D7">
              <w:rPr>
                <w:sz w:val="24"/>
                <w:szCs w:val="24"/>
              </w:rPr>
              <w:t xml:space="preserve"> </w:t>
            </w:r>
          </w:p>
          <w:p w14:paraId="5BBBC9C5" w14:textId="645BCD96" w:rsidR="00DD0629" w:rsidRPr="00136D23" w:rsidRDefault="00DD0629" w:rsidP="00136D23">
            <w:pPr>
              <w:rPr>
                <w:sz w:val="24"/>
                <w:szCs w:val="24"/>
              </w:rPr>
            </w:pPr>
          </w:p>
        </w:tc>
      </w:tr>
      <w:tr w:rsidR="005D69D7" w14:paraId="23E6324F" w14:textId="77777777" w:rsidTr="00054A85">
        <w:tc>
          <w:tcPr>
            <w:tcW w:w="15309" w:type="dxa"/>
            <w:shd w:val="clear" w:color="auto" w:fill="auto"/>
          </w:tcPr>
          <w:p w14:paraId="078CFA16" w14:textId="0C04BC61" w:rsidR="005D69D7" w:rsidRPr="00DD0629" w:rsidRDefault="005D69D7" w:rsidP="00820DDC">
            <w:pPr>
              <w:rPr>
                <w:b/>
                <w:bCs/>
                <w:sz w:val="24"/>
                <w:szCs w:val="24"/>
              </w:rPr>
            </w:pPr>
            <w:r w:rsidRPr="00DD0629">
              <w:rPr>
                <w:b/>
                <w:bCs/>
                <w:sz w:val="24"/>
                <w:szCs w:val="24"/>
              </w:rPr>
              <w:t xml:space="preserve">Young Minds </w:t>
            </w:r>
            <w:r w:rsidR="00054A85">
              <w:rPr>
                <w:b/>
                <w:bCs/>
                <w:sz w:val="24"/>
                <w:szCs w:val="24"/>
              </w:rPr>
              <w:t xml:space="preserve">Supporting School Transitions </w:t>
            </w:r>
          </w:p>
          <w:p w14:paraId="581BF97D" w14:textId="6737ECF4" w:rsidR="005D69D7" w:rsidRPr="00136D23" w:rsidRDefault="005D69D7" w:rsidP="00820DDC">
            <w:pPr>
              <w:rPr>
                <w:sz w:val="24"/>
                <w:szCs w:val="24"/>
              </w:rPr>
            </w:pPr>
            <w:r w:rsidRPr="00136D23">
              <w:rPr>
                <w:sz w:val="24"/>
                <w:szCs w:val="24"/>
              </w:rPr>
              <w:t xml:space="preserve">Resources to help pupils, schools, </w:t>
            </w:r>
            <w:r w:rsidR="00B4236E" w:rsidRPr="00136D23">
              <w:rPr>
                <w:sz w:val="24"/>
                <w:szCs w:val="24"/>
              </w:rPr>
              <w:t>parents,</w:t>
            </w:r>
            <w:r w:rsidRPr="00136D23">
              <w:rPr>
                <w:sz w:val="24"/>
                <w:szCs w:val="24"/>
              </w:rPr>
              <w:t xml:space="preserve"> and carers to cope with the changes and transitions they experience during their time at school.</w:t>
            </w:r>
            <w:r w:rsidR="00054A85">
              <w:rPr>
                <w:sz w:val="24"/>
                <w:szCs w:val="24"/>
              </w:rPr>
              <w:t xml:space="preserve"> </w:t>
            </w:r>
          </w:p>
          <w:p w14:paraId="6A077BB9" w14:textId="77777777" w:rsidR="00DD0629" w:rsidRDefault="00AC6CBA" w:rsidP="00820DDC">
            <w:pPr>
              <w:tabs>
                <w:tab w:val="left" w:pos="1245"/>
              </w:tabs>
              <w:rPr>
                <w:sz w:val="24"/>
                <w:szCs w:val="24"/>
              </w:rPr>
            </w:pPr>
            <w:hyperlink r:id="rId21" w:history="1">
              <w:r w:rsidR="00DD0629">
                <w:rPr>
                  <w:rStyle w:val="Hyperlink"/>
                  <w:sz w:val="24"/>
                  <w:szCs w:val="24"/>
                </w:rPr>
                <w:t>Young Minds Supporting School Transitions</w:t>
              </w:r>
            </w:hyperlink>
          </w:p>
          <w:p w14:paraId="3BF5DC6F" w14:textId="77777777" w:rsidR="00B4236E" w:rsidRDefault="00B4236E" w:rsidP="00820DDC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14:paraId="7F6A164B" w14:textId="224E96A4" w:rsidR="00B63E24" w:rsidRPr="00136D23" w:rsidRDefault="00B63E24" w:rsidP="00820DDC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  <w:tr w:rsidR="005D69D7" w14:paraId="2259F851" w14:textId="77777777" w:rsidTr="009A5DA4">
        <w:tc>
          <w:tcPr>
            <w:tcW w:w="15309" w:type="dxa"/>
            <w:shd w:val="clear" w:color="auto" w:fill="auto"/>
          </w:tcPr>
          <w:p w14:paraId="2415E905" w14:textId="0D8215C9" w:rsidR="009A5DA4" w:rsidRPr="009A5DA4" w:rsidRDefault="009A5DA4" w:rsidP="00136D23">
            <w:pPr>
              <w:rPr>
                <w:b/>
                <w:bCs/>
                <w:sz w:val="24"/>
                <w:szCs w:val="24"/>
              </w:rPr>
            </w:pPr>
            <w:r w:rsidRPr="009A5DA4">
              <w:rPr>
                <w:b/>
                <w:bCs/>
                <w:sz w:val="24"/>
                <w:szCs w:val="24"/>
              </w:rPr>
              <w:lastRenderedPageBreak/>
              <w:t xml:space="preserve">Mentally Healthy Schools Transitions </w:t>
            </w:r>
          </w:p>
          <w:p w14:paraId="4BCC32CD" w14:textId="7EE010B3" w:rsidR="009A5DA4" w:rsidRDefault="009A5DA4" w:rsidP="00136D23">
            <w:pPr>
              <w:rPr>
                <w:sz w:val="24"/>
                <w:szCs w:val="24"/>
              </w:rPr>
            </w:pPr>
            <w:r w:rsidRPr="009A5DA4">
              <w:rPr>
                <w:sz w:val="24"/>
                <w:szCs w:val="24"/>
              </w:rPr>
              <w:t>Provides information for schools, further education settings and parents to help support young people pre and post transition.</w:t>
            </w:r>
          </w:p>
          <w:p w14:paraId="37BD1F73" w14:textId="5EB249E2" w:rsidR="005D69D7" w:rsidRDefault="00AC6CBA" w:rsidP="00136D23">
            <w:pPr>
              <w:rPr>
                <w:sz w:val="24"/>
                <w:szCs w:val="24"/>
              </w:rPr>
            </w:pPr>
            <w:hyperlink r:id="rId22" w:history="1">
              <w:r w:rsidR="009A5DA4">
                <w:rPr>
                  <w:rStyle w:val="Hyperlink"/>
                  <w:sz w:val="24"/>
                  <w:szCs w:val="24"/>
                </w:rPr>
                <w:t>Mentally Healthy Schools Transition Support</w:t>
              </w:r>
            </w:hyperlink>
          </w:p>
          <w:p w14:paraId="2E08CAD4" w14:textId="66F7491F" w:rsidR="005D69D7" w:rsidRPr="00136D23" w:rsidRDefault="005D69D7" w:rsidP="00136D23">
            <w:pPr>
              <w:rPr>
                <w:sz w:val="24"/>
                <w:szCs w:val="24"/>
              </w:rPr>
            </w:pPr>
          </w:p>
        </w:tc>
      </w:tr>
      <w:tr w:rsidR="00136D23" w14:paraId="67D92913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3567BD62" w14:textId="5BACA461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>Resources for parents</w:t>
            </w:r>
          </w:p>
        </w:tc>
      </w:tr>
      <w:tr w:rsidR="00332EC3" w14:paraId="74BF0113" w14:textId="77777777" w:rsidTr="00332EC3">
        <w:trPr>
          <w:trHeight w:val="2354"/>
        </w:trPr>
        <w:tc>
          <w:tcPr>
            <w:tcW w:w="15309" w:type="dxa"/>
            <w:shd w:val="clear" w:color="auto" w:fill="FFFFFF" w:themeFill="background1"/>
          </w:tcPr>
          <w:p w14:paraId="6A41CFFA" w14:textId="79D4890D" w:rsidR="00332EC3" w:rsidRDefault="00332EC3" w:rsidP="00136D23">
            <w:pPr>
              <w:rPr>
                <w:b/>
                <w:bCs/>
                <w:sz w:val="24"/>
                <w:szCs w:val="24"/>
              </w:rPr>
            </w:pPr>
            <w:r w:rsidRPr="00332EC3">
              <w:rPr>
                <w:b/>
                <w:bCs/>
                <w:sz w:val="24"/>
                <w:szCs w:val="24"/>
              </w:rPr>
              <w:t>Notts Help Yourself Local Offer</w:t>
            </w:r>
          </w:p>
          <w:p w14:paraId="699AB2C1" w14:textId="09C599BD" w:rsidR="00332EC3" w:rsidRDefault="00332EC3" w:rsidP="00136D23">
            <w:pPr>
              <w:rPr>
                <w:sz w:val="24"/>
                <w:szCs w:val="24"/>
              </w:rPr>
            </w:pPr>
            <w:r w:rsidRPr="00332EC3">
              <w:rPr>
                <w:sz w:val="24"/>
                <w:szCs w:val="24"/>
              </w:rPr>
              <w:t xml:space="preserve">Help and advice for parents on the topic of transition. </w:t>
            </w:r>
            <w:r>
              <w:rPr>
                <w:sz w:val="24"/>
                <w:szCs w:val="24"/>
              </w:rPr>
              <w:t xml:space="preserve">Each link will take you directly to the relevant section required. </w:t>
            </w:r>
          </w:p>
          <w:p w14:paraId="437AA459" w14:textId="77777777" w:rsidR="00332EC3" w:rsidRPr="00332EC3" w:rsidRDefault="00332EC3" w:rsidP="00136D23">
            <w:pPr>
              <w:rPr>
                <w:sz w:val="24"/>
                <w:szCs w:val="24"/>
              </w:rPr>
            </w:pPr>
          </w:p>
          <w:p w14:paraId="64B2A718" w14:textId="4FDAA638" w:rsidR="00332EC3" w:rsidRDefault="00AC6CBA" w:rsidP="00136D23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332EC3">
                <w:rPr>
                  <w:rStyle w:val="Hyperlink"/>
                  <w:rFonts w:cstheme="minorHAnsi"/>
                  <w:sz w:val="24"/>
                  <w:szCs w:val="24"/>
                </w:rPr>
                <w:t>Information and Links to Support Transition from Early Years to Post 16</w:t>
              </w:r>
            </w:hyperlink>
          </w:p>
          <w:p w14:paraId="12279002" w14:textId="77777777" w:rsidR="00332EC3" w:rsidRDefault="00332EC3" w:rsidP="00136D23">
            <w:pPr>
              <w:rPr>
                <w:rFonts w:cstheme="minorHAnsi"/>
                <w:sz w:val="24"/>
                <w:szCs w:val="24"/>
              </w:rPr>
            </w:pPr>
          </w:p>
          <w:p w14:paraId="47E8FF0E" w14:textId="0B51BCA2" w:rsidR="00332EC3" w:rsidRDefault="00AC6CBA" w:rsidP="00136D23">
            <w:pPr>
              <w:rPr>
                <w:rStyle w:val="Hyperlink"/>
                <w:sz w:val="24"/>
                <w:szCs w:val="24"/>
              </w:rPr>
            </w:pPr>
            <w:hyperlink r:id="rId24" w:history="1">
              <w:r w:rsidR="00332EC3">
                <w:rPr>
                  <w:rStyle w:val="Hyperlink"/>
                  <w:sz w:val="24"/>
                  <w:szCs w:val="24"/>
                </w:rPr>
                <w:t>Handful of Transition Tips Leaflets for Parents of Children With SEND</w:t>
              </w:r>
            </w:hyperlink>
            <w:r w:rsidR="00CE690B">
              <w:rPr>
                <w:rStyle w:val="Hyperlink"/>
                <w:sz w:val="24"/>
                <w:szCs w:val="24"/>
              </w:rPr>
              <w:t xml:space="preserve">  </w:t>
            </w:r>
            <w:r w:rsidR="00CE690B">
              <w:rPr>
                <w:sz w:val="24"/>
                <w:szCs w:val="24"/>
              </w:rPr>
              <w:t>(also in delegate zip file)</w:t>
            </w:r>
          </w:p>
          <w:p w14:paraId="43786933" w14:textId="77777777" w:rsidR="00332EC3" w:rsidRDefault="00332EC3" w:rsidP="00136D23">
            <w:pPr>
              <w:rPr>
                <w:rStyle w:val="Hyperlink"/>
                <w:sz w:val="24"/>
                <w:szCs w:val="24"/>
              </w:rPr>
            </w:pPr>
          </w:p>
          <w:p w14:paraId="41F1FBA1" w14:textId="7D68AADB" w:rsidR="00332EC3" w:rsidRDefault="00AC6CBA" w:rsidP="00136D23">
            <w:pPr>
              <w:rPr>
                <w:sz w:val="24"/>
                <w:szCs w:val="24"/>
              </w:rPr>
            </w:pPr>
            <w:hyperlink r:id="rId25" w:history="1">
              <w:r w:rsidR="00332EC3">
                <w:rPr>
                  <w:rStyle w:val="Hyperlink"/>
                  <w:sz w:val="24"/>
                  <w:szCs w:val="24"/>
                </w:rPr>
                <w:t>Information on the Process of Transitioning to Adult Services</w:t>
              </w:r>
            </w:hyperlink>
          </w:p>
          <w:p w14:paraId="336F91E4" w14:textId="77777777" w:rsidR="00332EC3" w:rsidRDefault="00332EC3" w:rsidP="00136D23">
            <w:pPr>
              <w:rPr>
                <w:sz w:val="24"/>
                <w:szCs w:val="24"/>
              </w:rPr>
            </w:pPr>
          </w:p>
          <w:p w14:paraId="1FBBB108" w14:textId="5270E3A9" w:rsidR="00332EC3" w:rsidRDefault="00AC6CBA" w:rsidP="00136D23">
            <w:pPr>
              <w:rPr>
                <w:sz w:val="24"/>
                <w:szCs w:val="24"/>
              </w:rPr>
            </w:pPr>
            <w:hyperlink r:id="rId26" w:history="1">
              <w:r w:rsidR="00332EC3">
                <w:rPr>
                  <w:rStyle w:val="Hyperlink"/>
                  <w:sz w:val="24"/>
                  <w:szCs w:val="24"/>
                </w:rPr>
                <w:t>Transitions Frequently Asked Questions</w:t>
              </w:r>
            </w:hyperlink>
          </w:p>
          <w:p w14:paraId="4829556D" w14:textId="27E56B87" w:rsidR="00332EC3" w:rsidRPr="00136D23" w:rsidRDefault="00332EC3" w:rsidP="00136D23">
            <w:pPr>
              <w:rPr>
                <w:sz w:val="24"/>
                <w:szCs w:val="24"/>
              </w:rPr>
            </w:pPr>
          </w:p>
        </w:tc>
      </w:tr>
      <w:tr w:rsidR="00136D23" w14:paraId="3C771B11" w14:textId="77777777" w:rsidTr="00136D23">
        <w:tc>
          <w:tcPr>
            <w:tcW w:w="15309" w:type="dxa"/>
            <w:shd w:val="clear" w:color="auto" w:fill="D9E2F3" w:themeFill="accent1" w:themeFillTint="33"/>
          </w:tcPr>
          <w:p w14:paraId="2B38C8AB" w14:textId="109433DE" w:rsidR="00136D23" w:rsidRPr="00D86078" w:rsidRDefault="00136D23" w:rsidP="00136D23">
            <w:pPr>
              <w:rPr>
                <w:b/>
                <w:bCs/>
                <w:sz w:val="32"/>
                <w:szCs w:val="32"/>
              </w:rPr>
            </w:pPr>
            <w:r w:rsidRPr="00D86078">
              <w:rPr>
                <w:b/>
                <w:bCs/>
                <w:sz w:val="32"/>
                <w:szCs w:val="32"/>
              </w:rPr>
              <w:t>Other /general</w:t>
            </w:r>
          </w:p>
        </w:tc>
      </w:tr>
      <w:tr w:rsidR="004724FB" w14:paraId="181B4F38" w14:textId="77777777" w:rsidTr="00016C43">
        <w:tc>
          <w:tcPr>
            <w:tcW w:w="15309" w:type="dxa"/>
            <w:shd w:val="clear" w:color="auto" w:fill="FFFFFF" w:themeFill="background1"/>
          </w:tcPr>
          <w:p w14:paraId="6A776D90" w14:textId="7B6BA7CC" w:rsidR="004724FB" w:rsidRDefault="00016C43" w:rsidP="00136D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East Midlands Education Support Service - </w:t>
            </w:r>
            <w:r w:rsidR="004724FB" w:rsidRPr="004724FB">
              <w:rPr>
                <w:b/>
                <w:bCs/>
                <w:sz w:val="24"/>
                <w:szCs w:val="24"/>
              </w:rPr>
              <w:t>SFSS Inclusive Transition</w:t>
            </w:r>
          </w:p>
          <w:p w14:paraId="1324876A" w14:textId="68D4F4F3" w:rsidR="00016C43" w:rsidRPr="00016C43" w:rsidRDefault="00016C43" w:rsidP="00136D23">
            <w:pPr>
              <w:rPr>
                <w:sz w:val="24"/>
                <w:szCs w:val="24"/>
              </w:rPr>
            </w:pPr>
            <w:r w:rsidRPr="00016C43">
              <w:rPr>
                <w:sz w:val="24"/>
                <w:szCs w:val="24"/>
              </w:rPr>
              <w:t>Advice and guidance to support schools, parents</w:t>
            </w:r>
            <w:r>
              <w:rPr>
                <w:sz w:val="24"/>
                <w:szCs w:val="24"/>
              </w:rPr>
              <w:t>,</w:t>
            </w:r>
            <w:r w:rsidRPr="00016C43">
              <w:rPr>
                <w:sz w:val="24"/>
                <w:szCs w:val="24"/>
              </w:rPr>
              <w:t xml:space="preserve"> and young people with a range of different educational transitions. </w:t>
            </w:r>
            <w:r>
              <w:rPr>
                <w:sz w:val="24"/>
                <w:szCs w:val="24"/>
              </w:rPr>
              <w:t xml:space="preserve">Includes website links and downloadable resources. </w:t>
            </w:r>
          </w:p>
          <w:p w14:paraId="10BEA0DB" w14:textId="77777777" w:rsidR="00332EC3" w:rsidRDefault="00AC6CBA" w:rsidP="00136D23">
            <w:pPr>
              <w:rPr>
                <w:sz w:val="24"/>
                <w:szCs w:val="24"/>
              </w:rPr>
            </w:pPr>
            <w:hyperlink r:id="rId27" w:history="1">
              <w:r w:rsidR="00016C43">
                <w:rPr>
                  <w:rStyle w:val="Hyperlink"/>
                  <w:sz w:val="24"/>
                  <w:szCs w:val="24"/>
                </w:rPr>
                <w:t>Inclusive Transition Resource</w:t>
              </w:r>
            </w:hyperlink>
          </w:p>
          <w:p w14:paraId="289931E1" w14:textId="64E71933" w:rsidR="00016C43" w:rsidRPr="00016C43" w:rsidRDefault="00016C43" w:rsidP="00136D23">
            <w:pPr>
              <w:rPr>
                <w:sz w:val="24"/>
                <w:szCs w:val="24"/>
              </w:rPr>
            </w:pPr>
          </w:p>
        </w:tc>
      </w:tr>
      <w:tr w:rsidR="005D69D7" w14:paraId="18865D42" w14:textId="77777777" w:rsidTr="00016C43">
        <w:tc>
          <w:tcPr>
            <w:tcW w:w="15309" w:type="dxa"/>
            <w:shd w:val="clear" w:color="auto" w:fill="FFFFFF" w:themeFill="background1"/>
          </w:tcPr>
          <w:p w14:paraId="0D8AA8C2" w14:textId="348C0D46" w:rsidR="00B63E24" w:rsidRPr="00016C43" w:rsidRDefault="00016C43" w:rsidP="00136D23">
            <w:pPr>
              <w:rPr>
                <w:b/>
                <w:bCs/>
              </w:rPr>
            </w:pPr>
            <w:proofErr w:type="spellStart"/>
            <w:r w:rsidRPr="00016C43">
              <w:rPr>
                <w:b/>
                <w:bCs/>
              </w:rPr>
              <w:t>Nasen</w:t>
            </w:r>
            <w:proofErr w:type="spellEnd"/>
          </w:p>
          <w:p w14:paraId="298E0AB3" w14:textId="657B1141" w:rsidR="005D69D7" w:rsidRDefault="00AC6CBA" w:rsidP="00136D23">
            <w:pPr>
              <w:rPr>
                <w:sz w:val="24"/>
                <w:szCs w:val="24"/>
              </w:rPr>
            </w:pPr>
            <w:hyperlink r:id="rId28" w:history="1">
              <w:r w:rsidR="00016C43" w:rsidRPr="008A7FEF">
                <w:rPr>
                  <w:rStyle w:val="Hyperlink"/>
                  <w:sz w:val="24"/>
                  <w:szCs w:val="24"/>
                </w:rPr>
                <w:t>https://www.nasen.org.uk/</w:t>
              </w:r>
            </w:hyperlink>
          </w:p>
          <w:p w14:paraId="63AA54DC" w14:textId="21E35704" w:rsidR="005D69D7" w:rsidRPr="00136D23" w:rsidRDefault="005D69D7" w:rsidP="00136D23">
            <w:pPr>
              <w:rPr>
                <w:sz w:val="24"/>
                <w:szCs w:val="24"/>
              </w:rPr>
            </w:pPr>
          </w:p>
        </w:tc>
      </w:tr>
      <w:tr w:rsidR="00820DDC" w14:paraId="3D8BFCC5" w14:textId="77777777" w:rsidTr="00016C43">
        <w:tc>
          <w:tcPr>
            <w:tcW w:w="15309" w:type="dxa"/>
            <w:shd w:val="clear" w:color="auto" w:fill="FFFFFF" w:themeFill="background1"/>
          </w:tcPr>
          <w:p w14:paraId="03094C42" w14:textId="6A680B72" w:rsidR="00B63E24" w:rsidRPr="00820DDC" w:rsidRDefault="00820DDC" w:rsidP="00136D23">
            <w:pPr>
              <w:rPr>
                <w:b/>
                <w:bCs/>
                <w:sz w:val="24"/>
                <w:szCs w:val="24"/>
              </w:rPr>
            </w:pPr>
            <w:r w:rsidRPr="00820DDC">
              <w:rPr>
                <w:b/>
                <w:bCs/>
                <w:sz w:val="24"/>
                <w:szCs w:val="24"/>
              </w:rPr>
              <w:t>Twinkl Transition Resources</w:t>
            </w:r>
          </w:p>
          <w:p w14:paraId="5D194079" w14:textId="00B088E8" w:rsidR="00820DDC" w:rsidRDefault="00AC6CBA" w:rsidP="00136D23">
            <w:pPr>
              <w:rPr>
                <w:sz w:val="24"/>
                <w:szCs w:val="24"/>
              </w:rPr>
            </w:pPr>
            <w:hyperlink r:id="rId29" w:history="1">
              <w:r w:rsidR="00820DDC">
                <w:rPr>
                  <w:rStyle w:val="Hyperlink"/>
                  <w:sz w:val="24"/>
                  <w:szCs w:val="24"/>
                </w:rPr>
                <w:t>Twinkl Transition Resources</w:t>
              </w:r>
            </w:hyperlink>
          </w:p>
          <w:p w14:paraId="2E7AF168" w14:textId="667978B9" w:rsidR="00820DDC" w:rsidRPr="00136D23" w:rsidRDefault="00820DDC" w:rsidP="00136D23">
            <w:pPr>
              <w:rPr>
                <w:sz w:val="24"/>
                <w:szCs w:val="24"/>
              </w:rPr>
            </w:pPr>
          </w:p>
        </w:tc>
      </w:tr>
      <w:tr w:rsidR="005D69D7" w14:paraId="47B8A31E" w14:textId="77777777" w:rsidTr="00016C43">
        <w:tc>
          <w:tcPr>
            <w:tcW w:w="15309" w:type="dxa"/>
            <w:shd w:val="clear" w:color="auto" w:fill="FFFFFF" w:themeFill="background1"/>
          </w:tcPr>
          <w:p w14:paraId="407ED6CE" w14:textId="5D038090" w:rsidR="00B63E24" w:rsidRPr="004724FB" w:rsidRDefault="004724FB" w:rsidP="00136D23">
            <w:pPr>
              <w:rPr>
                <w:b/>
                <w:bCs/>
                <w:sz w:val="24"/>
                <w:szCs w:val="24"/>
              </w:rPr>
            </w:pPr>
            <w:r w:rsidRPr="004724FB">
              <w:rPr>
                <w:b/>
                <w:bCs/>
                <w:sz w:val="24"/>
                <w:szCs w:val="24"/>
              </w:rPr>
              <w:t>Primary to Secondary transition during the height of the Covid Pandemic (Research by Bagnall, Skipper &amp; Fox, 2022)</w:t>
            </w:r>
          </w:p>
          <w:p w14:paraId="6F6BF4B6" w14:textId="2CB74861" w:rsidR="005D69D7" w:rsidRDefault="00AC6CBA" w:rsidP="00136D23">
            <w:pPr>
              <w:rPr>
                <w:sz w:val="24"/>
                <w:szCs w:val="24"/>
              </w:rPr>
            </w:pPr>
            <w:hyperlink r:id="rId30" w:history="1">
              <w:r w:rsidR="004724FB" w:rsidRPr="007F2D1F">
                <w:rPr>
                  <w:rStyle w:val="Hyperlink"/>
                  <w:sz w:val="24"/>
                  <w:szCs w:val="24"/>
                </w:rPr>
                <w:t>http://eprints.gla.ac.uk/263328/2/263328.pdf</w:t>
              </w:r>
            </w:hyperlink>
            <w:r w:rsidR="004724FB">
              <w:rPr>
                <w:sz w:val="24"/>
                <w:szCs w:val="24"/>
              </w:rPr>
              <w:t xml:space="preserve"> </w:t>
            </w:r>
          </w:p>
          <w:p w14:paraId="69ED17D8" w14:textId="1F53DDAD" w:rsidR="005D69D7" w:rsidRPr="00136D23" w:rsidRDefault="005D69D7" w:rsidP="00136D23">
            <w:pPr>
              <w:rPr>
                <w:sz w:val="24"/>
                <w:szCs w:val="24"/>
              </w:rPr>
            </w:pPr>
          </w:p>
        </w:tc>
      </w:tr>
    </w:tbl>
    <w:p w14:paraId="639A5A87" w14:textId="77777777" w:rsidR="00136D23" w:rsidRDefault="00136D23"/>
    <w:sectPr w:rsidR="00136D23" w:rsidSect="00B63E24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E217" w14:textId="77777777" w:rsidR="00B63E24" w:rsidRDefault="00B63E24" w:rsidP="00B63E24">
      <w:pPr>
        <w:spacing w:after="0" w:line="240" w:lineRule="auto"/>
      </w:pPr>
      <w:r>
        <w:separator/>
      </w:r>
    </w:p>
  </w:endnote>
  <w:endnote w:type="continuationSeparator" w:id="0">
    <w:p w14:paraId="63ECED3F" w14:textId="77777777" w:rsidR="00B63E24" w:rsidRDefault="00B63E24" w:rsidP="00B6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5F5" w14:textId="77777777" w:rsidR="00B63E24" w:rsidRDefault="00B63E24" w:rsidP="00B63E24">
      <w:pPr>
        <w:spacing w:after="0" w:line="240" w:lineRule="auto"/>
      </w:pPr>
      <w:r>
        <w:separator/>
      </w:r>
    </w:p>
  </w:footnote>
  <w:footnote w:type="continuationSeparator" w:id="0">
    <w:p w14:paraId="560488F3" w14:textId="77777777" w:rsidR="00B63E24" w:rsidRDefault="00B63E24" w:rsidP="00B6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A181F"/>
    <w:multiLevelType w:val="hybridMultilevel"/>
    <w:tmpl w:val="3E78DEB0"/>
    <w:lvl w:ilvl="0" w:tplc="A8D8D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8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D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2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0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E3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7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89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A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3"/>
    <w:rsid w:val="00016C43"/>
    <w:rsid w:val="00033B1A"/>
    <w:rsid w:val="00054A85"/>
    <w:rsid w:val="00136D23"/>
    <w:rsid w:val="001F3315"/>
    <w:rsid w:val="00270AAA"/>
    <w:rsid w:val="00332EC3"/>
    <w:rsid w:val="003A582D"/>
    <w:rsid w:val="004724FB"/>
    <w:rsid w:val="005167D1"/>
    <w:rsid w:val="005D69D7"/>
    <w:rsid w:val="007F67DF"/>
    <w:rsid w:val="00820DDC"/>
    <w:rsid w:val="009A5DA4"/>
    <w:rsid w:val="00A52995"/>
    <w:rsid w:val="00AC6CBA"/>
    <w:rsid w:val="00B27BFA"/>
    <w:rsid w:val="00B4236E"/>
    <w:rsid w:val="00B63E24"/>
    <w:rsid w:val="00CA770A"/>
    <w:rsid w:val="00CE690B"/>
    <w:rsid w:val="00D86078"/>
    <w:rsid w:val="00DD0629"/>
    <w:rsid w:val="00E92643"/>
    <w:rsid w:val="00F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4C51"/>
  <w15:chartTrackingRefBased/>
  <w15:docId w15:val="{B0B331DD-44D3-4657-A589-9020CA6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D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24"/>
  </w:style>
  <w:style w:type="paragraph" w:styleId="Footer">
    <w:name w:val="footer"/>
    <w:basedOn w:val="Normal"/>
    <w:link w:val="FooterChar"/>
    <w:uiPriority w:val="99"/>
    <w:unhideWhenUsed/>
    <w:rsid w:val="00B63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E2LS5xrT3AhWIX8AKHQYaCOAQFnoECAQQAQ&amp;url=https%3A%2F%2Fwww.highland.gov.uk%2Fdownload%2Fdownloads%2Fid%2F227%2Ftransition_pack_from_nursery_to_primary_school.pdf&amp;usg=AOvVaw3GVN6y83RDwuCtN-I-x6ab" TargetMode="External"/><Relationship Id="rId13" Type="http://schemas.openxmlformats.org/officeDocument/2006/relationships/hyperlink" Target="https://www.bbc.co.uk/bitesize/tags/zh4wy9q/starting-secondary-school/1" TargetMode="External"/><Relationship Id="rId18" Type="http://schemas.openxmlformats.org/officeDocument/2006/relationships/hyperlink" Target="https://www.bbc.co.uk/bitesize/collections/college-and-apprenticeships/1" TargetMode="External"/><Relationship Id="rId26" Type="http://schemas.openxmlformats.org/officeDocument/2006/relationships/hyperlink" Target="https://www.nottshelpyourself.org.uk/kb5/nottinghamshire/directory/site.page?id=VUQI_ctahXw&amp;newdirectorychanne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ngminds.org.uk/professional/resources/supporting-school-transition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hsggc.org.uk/kids/skills-for-secondary-school/" TargetMode="External"/><Relationship Id="rId17" Type="http://schemas.openxmlformats.org/officeDocument/2006/relationships/hyperlink" Target="https://www.compass-uk.org/wp-content/uploads/2020/09/SecondarySchool_TransitionBooklet_Compass.pdf" TargetMode="External"/><Relationship Id="rId25" Type="http://schemas.openxmlformats.org/officeDocument/2006/relationships/hyperlink" Target="https://www.nottshelpyourself.org.uk/kb5/nottinghamshire/directory/site.page?id=iC8eM8Jtdeo&amp;newdirectorychanne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pass-uk.org/help-and-support/parents-carers/parents-carers-health/transition-to-secondary-school/" TargetMode="External"/><Relationship Id="rId20" Type="http://schemas.openxmlformats.org/officeDocument/2006/relationships/hyperlink" Target="https://www.annafreud.org/schools-and-colleges/resources/moving-up-the-transition-to-secondary-school-animation-teacher-toolkit/" TargetMode="External"/><Relationship Id="rId29" Type="http://schemas.openxmlformats.org/officeDocument/2006/relationships/hyperlink" Target="https://www.twinkl.co.uk/search?q=Transition&amp;c=244&amp;r=par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ggc.org.uk/kids/child-development/interactive-child-development-questionnaires/moving-on-to-school/" TargetMode="External"/><Relationship Id="rId24" Type="http://schemas.openxmlformats.org/officeDocument/2006/relationships/hyperlink" Target="https://search3.openobjects.com/mediamanager/nottinghamshire/fsd/files/transition_tips_for_parents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opics/zjgck2p" TargetMode="External"/><Relationship Id="rId23" Type="http://schemas.openxmlformats.org/officeDocument/2006/relationships/hyperlink" Target="https://www.nottshelpyourself.org.uk/kb5/nottinghamshire/directory/site.page?id=4CWZN-f8b_c&amp;newdirectorychannel=0" TargetMode="External"/><Relationship Id="rId28" Type="http://schemas.openxmlformats.org/officeDocument/2006/relationships/hyperlink" Target="https://www.nasen.org.uk/" TargetMode="External"/><Relationship Id="rId10" Type="http://schemas.openxmlformats.org/officeDocument/2006/relationships/hyperlink" Target="https://www.nhsggc.org.uk/kids/child-development/interactive-child-development-questionnaires/moving-on-to-nursery/" TargetMode="External"/><Relationship Id="rId19" Type="http://schemas.openxmlformats.org/officeDocument/2006/relationships/hyperlink" Target="https://www.preparingforadulthood.org.u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ollections/starting-primary-school/1" TargetMode="External"/><Relationship Id="rId14" Type="http://schemas.openxmlformats.org/officeDocument/2006/relationships/hyperlink" Target="https://www.bbc.co.uk/teach/transitioning-to-secondary-school/zkc9pg8" TargetMode="External"/><Relationship Id="rId22" Type="http://schemas.openxmlformats.org/officeDocument/2006/relationships/hyperlink" Target="https://www.mentallyhealthyschools.org.uk/risks-and-protective-factors/school-based-risk-factors/transitions/" TargetMode="External"/><Relationship Id="rId27" Type="http://schemas.openxmlformats.org/officeDocument/2006/relationships/hyperlink" Target="https://www.em-edsupport.org.uk/Page/10962" TargetMode="External"/><Relationship Id="rId30" Type="http://schemas.openxmlformats.org/officeDocument/2006/relationships/hyperlink" Target="http://eprints.gla.ac.uk/263328/2/2633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Eyre</dc:creator>
  <cp:keywords/>
  <dc:description/>
  <cp:lastModifiedBy>Kate Eyre</cp:lastModifiedBy>
  <cp:revision>2</cp:revision>
  <dcterms:created xsi:type="dcterms:W3CDTF">2022-04-28T08:42:00Z</dcterms:created>
  <dcterms:modified xsi:type="dcterms:W3CDTF">2022-04-28T08:42:00Z</dcterms:modified>
</cp:coreProperties>
</file>